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C0" w:rsidRPr="00E62EC0" w:rsidRDefault="00E62EC0" w:rsidP="00E62EC0">
      <w:pPr>
        <w:shd w:val="clear" w:color="auto" w:fill="FFFFFF"/>
        <w:spacing w:after="153" w:line="36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E62EC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Приказ ДОЗНКО от 30.01.2009 N 107</w:t>
      </w:r>
    </w:p>
    <w:p w:rsidR="00E62EC0" w:rsidRPr="00E62EC0" w:rsidRDefault="00E62EC0" w:rsidP="00E62EC0">
      <w:pPr>
        <w:shd w:val="clear" w:color="auto" w:fill="FFFFFF"/>
        <w:spacing w:after="153" w:line="368" w:lineRule="atLeast"/>
        <w:jc w:val="right"/>
        <w:textAlignment w:val="baseline"/>
        <w:rPr>
          <w:rFonts w:ascii="Arial" w:eastAsia="Times New Roman" w:hAnsi="Arial" w:cs="Arial"/>
          <w:b/>
          <w:bCs/>
          <w:i/>
          <w:iCs/>
          <w:color w:val="505050"/>
          <w:sz w:val="18"/>
          <w:szCs w:val="18"/>
          <w:lang w:eastAsia="ru-RU"/>
        </w:rPr>
      </w:pPr>
      <w:r w:rsidRPr="00E62EC0">
        <w:rPr>
          <w:rFonts w:ascii="Arial" w:eastAsia="Times New Roman" w:hAnsi="Arial" w:cs="Arial"/>
          <w:b/>
          <w:bCs/>
          <w:i/>
          <w:iCs/>
          <w:color w:val="505050"/>
          <w:sz w:val="18"/>
          <w:szCs w:val="18"/>
          <w:lang w:eastAsia="ru-RU"/>
        </w:rPr>
        <w:t>Документ по состоянию на</w:t>
      </w:r>
      <w:r w:rsidRPr="00E62EC0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ru-RU"/>
        </w:rPr>
        <w:t> </w:t>
      </w:r>
      <w:r w:rsidRPr="00E62EC0">
        <w:rPr>
          <w:rFonts w:ascii="inherit" w:eastAsia="Times New Roman" w:hAnsi="inherit" w:cs="Arial"/>
          <w:b/>
          <w:bCs/>
          <w:i/>
          <w:iCs/>
          <w:color w:val="533587"/>
          <w:sz w:val="18"/>
          <w:szCs w:val="18"/>
          <w:bdr w:val="none" w:sz="0" w:space="0" w:color="auto" w:frame="1"/>
          <w:lang w:eastAsia="ru-RU"/>
        </w:rPr>
        <w:t>январь 2016 года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В соответствии с п. 1 ст. 41 Федерального закона от 22.06.1998 N 86-ФЗ "О лекарственных средствах" и с целью повышения безопасности применения лекарственных средств в медицинских учреждениях на территории Кемеровской области приказываю: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1. Создать Кемеровский центр мониторинга безопасности лекарственных средств на базе ГУЗ "Центр контроля качества и сертификации лекарственных средств" (далее - ГУЗ ЦККСЛС).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2. Утвердить Положение о Кемеровском центре мониторинга безопасности лекарственных средств (приложение).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3. Заместителю начальника департамента охраны здоровья населения Кемеровской области В.В.Нестеровой обеспечить финансирование Кемеровского центра мониторинга безопасности лекарственных средств с учетом штатного расписания и сметы расходов.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4. Руководителям территориальных органов управления здравоохранением: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4.1. обеспечить контроль своевременности направления информации обо всех случаях развития неблагоприятных побочных реакций или неэффективности лекарственных средств;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4.2. направить в ГУЗ ЦККСЛС информацию о назначенных ответственных лицах с указанием Ф.И.О. и средствах связи.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 Руководителям ЛПУ на территории области: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5.1. организовать назначение ответственных лиц и подготовку специалистов - клинических фармакологов для осуществления мониторинга безопасности лекарственных средств в ЛПУ;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5.2. обеспечить регистрацию неблагоприятных побочных реакций или неэффективности лекарственных средств по ЛПУ и передачу /заполненных карт-извещений в ГУЗ ЦККСЛС по E-mail: kcenter@kemcity.ru с подтверждением информации на бумажном носителе.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6. Внештатному клиническому фармакологу департамента охраны здоровья населения Кемеровской области И.В.Ходаревой своевременно информировать территории и ЛПУ о проведении обучения и специализаций клинических фармакологов.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7. Контроль за исполнением приказа возложить на заместителей начальника департамента В.В.Нестерову, О.В.Селедцову, Л.Н.Ермолаеву.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0" w:rsidRPr="00E62EC0" w:rsidRDefault="00E62EC0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Начальник департамента В.Э.НОВИКОВ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0" w:rsidRPr="00E62EC0" w:rsidRDefault="00E62EC0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lastRenderedPageBreak/>
        <w:t>Приложение к приказу ДОЗН КО от 30 января 2009 г. N 107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br/>
      </w:r>
    </w:p>
    <w:p w:rsidR="00E62EC0" w:rsidRPr="00E62EC0" w:rsidRDefault="00E62EC0" w:rsidP="00E62EC0">
      <w:pPr>
        <w:shd w:val="clear" w:color="auto" w:fill="FFFFFF"/>
        <w:spacing w:after="0" w:line="368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62EC0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ПОЛОЖЕНИЕ О КЕМЕРОВСКОМ ЦЕНТРЕ МОНИТОРИНГА БЕЗОПАСНОСТИ ЛЕКАРСТВЕННЫХ СРЕДСТВ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0" w:rsidRPr="00E62EC0" w:rsidRDefault="00E62EC0" w:rsidP="00E62EC0">
      <w:pPr>
        <w:shd w:val="clear" w:color="auto" w:fill="FFFFFF"/>
        <w:spacing w:after="0" w:line="368" w:lineRule="atLeast"/>
        <w:jc w:val="center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1. Общие положения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1.1. Кемеровский центр мониторинга безопасности лекарственных средств (далее - Центр мониторинга безопасности ЛС), как часть государственной системы мониторинга безопасности лекарственных средств, организуется на базе Государственного учреждения здравоохранения "Центр контроля качества и сертификации лекарственных средств" (далее - ГУЗ ЦККСЛС) и является его структурным подразделением.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1.2. Положение о Центре мониторинга безопасности ЛС согласовывается с руководителем территориального управления Росздравнадзора по Кемеровской области, начальником департамента охраны здоровья населения Кемеровской области и утверждается директором ГУЗ ЦККСЛС.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1.3. Руководитель Центра мониторинга безопасности ЛС назначается и освобождается от занимаемой должности приказом директора ГУЗ ЦККСЛС.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0" w:rsidRPr="00E62EC0" w:rsidRDefault="00E62EC0" w:rsidP="00E62EC0">
      <w:pPr>
        <w:shd w:val="clear" w:color="auto" w:fill="FFFFFF"/>
        <w:spacing w:after="0" w:line="368" w:lineRule="atLeast"/>
        <w:jc w:val="center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2. Цель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Основной целью деятельности Центра мониторинга безопасности ЛС является повышение безопасности населения Кемеровской области при проведении фармакотерапии.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0" w:rsidRPr="00E62EC0" w:rsidRDefault="00E62EC0" w:rsidP="00E62EC0">
      <w:pPr>
        <w:shd w:val="clear" w:color="auto" w:fill="FFFFFF"/>
        <w:spacing w:after="0" w:line="368" w:lineRule="atLeast"/>
        <w:jc w:val="center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3. Основные задачи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3.1. Организация работы по выявлению проблем лекарственной терапии и мониторинг безопасности лекарственных средств (далее - ЛС) на территории Кемеровской области.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3.2. Сбор, анализ, систематизация и верификация спонтанных сообщений о непредвиденных побочных реакциях (далее - НПР), и случаях терапевтической неэффективности ЛС.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3.3. Внедрение в медицинскую практику современных методов исследования безопасности ЛС.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3.4. Организация исследований в области с целью получения Дополнительной информации о безопасности/эффективности ЛС.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3.5. Выявление факторов риска развития НПР, разработка и внедрение в медицинскую практику мер, направленных на их предотвращение.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lastRenderedPageBreak/>
        <w:t>3.6. Выявление фальсифицированных и недоброкачественных ЛС.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3.7. Информирование Федерального центра мониторинга безопасности лекарственных средств ФГУ "НЦЭСМП" Росздравнадзора (далее - ФЦ МБЛС) о выявленных в области НПР в установленном порядке, предусматривающем заполнение карты-извещения о НПР и предоставление ежемесячных отчетов (приложение N 1).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3.8. Проведение информационной работы в области качества и безопасности ЛС с работниками здравоохранения и пациентами.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3.9. Оказание консультативной помощи медицинским работникам в анализе, верификации и интерпретации НПР.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0" w:rsidRPr="00E62EC0" w:rsidRDefault="00E62EC0" w:rsidP="00E62EC0">
      <w:pPr>
        <w:shd w:val="clear" w:color="auto" w:fill="FFFFFF"/>
        <w:spacing w:after="0" w:line="368" w:lineRule="atLeast"/>
        <w:jc w:val="center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4. Основные виды деятельности Центра мониторинга безопасности ЛС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4.1. Сбор, регистрация, систематизация и анализ спонтанных сообщений о НПР на ЛС.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4.2. Активный мониторинг безопасности и эффективности ЛС, при применении которых возникли (подозреваются) соответствующие проблемы в Кемеровской области.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4.3. Мониторинг исходов терапии при назначении ЛС, в том числе по незарегистрированным показаниям.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4.4. Мониторинг исходов беременности при назначении ЛС беременным женщинам.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4.5. Подготовка и предоставление отчетов и справок по вопросам безопасности ЛС по запросам ФЦ МБЛС и территориального управления Росздравнадзора.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4.6. Организация и проведение научно-исследовательских работ в области фармаконадзора.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4.7. Консультативно-аналитическая и методическая деятельность по вопросам рациональной фармакотерапии и экспертизы безопасности ЛС.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4.8. Информационная деятельность (проведение семинаров, симпозиумов по проблемам национальной и безопасной фармакотерапии).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4.9. Взаимодействие с органами управления здравоохранением территорий, работниками здравоохранения, лечебно-профилактическими учреждениями, ФЦ МБЛС, территориальным управлением Росздравнадзора в области обеспечения рациональной фармакотерапии.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4.10. Профилактики осложнений лекарственной терапии и организации медицинской помощи в случае развития тяжелых осложнений.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4.11. Другие виды научно-производственной и хозяйственной деятельности, не противоречащие действующему законодательству и настоящему Положению.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0" w:rsidRPr="00E62EC0" w:rsidRDefault="00E62EC0" w:rsidP="00E62EC0">
      <w:pPr>
        <w:shd w:val="clear" w:color="auto" w:fill="FFFFFF"/>
        <w:spacing w:after="0" w:line="368" w:lineRule="atLeast"/>
        <w:jc w:val="center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 Организация деятельности и полномочия Центра мониторинга безопасности ЛС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5.1. Центр мониторинга безопасности ЛС в своей работе руководствуется действующим законодательством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здравоохранения и социального развития Российской Федерации, Федеральной службы по надзору в сфере здравоохранения и социального развития, поручениями и распоряжениями руководителя Росздравнадзора, департамента охраны здоровья населения Кемеровской области, директора ГУЗ ЦККСЛС, Уставом и настоящим Положением.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5.2. Центр мониторинга безопасности ЛС выполняет работы, финансируемые из бюджетных и внебюджетных средств.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5.3. Центр мониторинга безопасности ЛС имеет штампы и бланки с указанием наименования Центра.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5.4. Руководитель Центра мониторинга безопасности ЛС: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5.4.1. осуществляет общее руководство, определяет и дает работникам отдела поручения и указания по вопросам, отнесенным к деятельности Центра мониторинга безопасности ЛС;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5.4.2. отвечает на письма предприятий, учреждений, ведет прием граждан, должностных лиц учреждений и организаций по вопросам, отнесенным к функциям Центра мониторинга безопасности ЛС.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5.5. Центр мониторинга безопасности ЛС направляет информацию о выявленных НИР и случаях неэффективности ЛС в базу данных ФЦ МБЛС в виде заполненной карты-извещения, представленной в электронном формате на сайте http://www.roszdravnadzor.ru, обязательно указывать степень достоверности причинно-следственной связи НПР с препаратом.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5.6. При получении сообщений о летальных исходах и серьезных (госпитализация или ее продление, стойкая или выраженная нетрудоспособность/инвалидность, врожденные аномалии, другие клинически значимые реакции) непредвиденных (не отраженных в инструкции по медицинскому применению ЛС) НПР на ЛС, информация о них направляется в территориальное управление Росздравнадзора, с заключением клинического фармаколога по утвержденной форме (приложение N 2) и в ФЦ МБЛС в электронном виде по web-интерфейсу, не позднее одного рабочего дня с момента ее поступления. При поступлении дополнительных данных о развитии серьезных НПР действия проводятся по той же схеме.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lastRenderedPageBreak/>
        <w:t>Информация о НПР, не относящаяся к разряду серьезных -непредвиденных, направляется в ФС МБЛС в электронном виде по web-интерфейсу не позднее пяти рабочих дней с момента ее получения Центром мониторинга безопасности ЛС.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5.7. Центр мониторинга безопасности ЛС ежемесячно представляет в ФЦ МБЛС отчет о полученных сообщениях о НПР или случаях терапевтической неэффективности ЛС по утвержденной форме (приложение N 3), подписанный директором ГУЗ ЦККСЛС. Отчет направляется в электронном формате (Word.doc) по адресу ADR@reaned.ru и по факсу 8 499 1903461. Оригиналы карт-извещений и ежемесячных отчетов хранятся в Центре мониторинга безопасности ЛС.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5.8. Годовой отчет предоставляется в ФС МБЛС не позднее 31 января года, следующего за отчетным годом. Отчет составляется руководителем Центра мониторинга безопасности ЛС, подписывается директором ГУЗ ЦККСЛС и предоставляется в электронном виде (ADR@regmed.ru) и на бумажном носителе (Москва, 127051, Петровский бульвар, дом 8. "Для Федерального центра мониторинга безопасности лекарственных средств").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5.9. Центр мониторинга безопасности ЛС планирует свою научно-методическую деятельность, проведение информационно-просветительских мероприятий, другие виды деятельности, кроме сбора сообщений о НПР, на ближайший квартал.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 целью координации научно-методической деятельности Центра мониторинга ЛС и проведения совместных мероприятий, планы предоставляются в ФЦ МБЛС не позднее пяти рабочих дней до начала запланированного периода. Отчеты о проведенных мероприятиях включаются в ежемесячные и годовые отчеты.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5.10. Для получения информации о НПР на какой-либо лекарственный препарат на всей территории Российской Федерации, Центр мониторинга безопасности ЛС направляет запрос в ФЦ МБЛС.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5.11. По согласованию с руководителем ФЦ МБЛС сотрудники Центра мониторинга безопасности ЛС направляются на обучение и стажировку в ФЦ МБЛС.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0" w:rsidRPr="00E62EC0" w:rsidRDefault="00E62EC0" w:rsidP="00E62EC0">
      <w:pPr>
        <w:shd w:val="clear" w:color="auto" w:fill="FFFFFF"/>
        <w:spacing w:after="0" w:line="368" w:lineRule="atLeast"/>
        <w:jc w:val="center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6. Ответственность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6.1. Ответственность за качество и своевременность выполнения Центром мониторинга безопасности ЛС возложенных функций и задач несет руководитель в соответствии с должностной инструкцией и действующим законодательством.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lastRenderedPageBreak/>
        <w:t>6.2. Ответственность работников Центра мониторинга безопасности ЛС устанавливается должностными инструкциями и другими локальными нормативными актами.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E62EC0" w:rsidRDefault="00E62EC0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lastRenderedPageBreak/>
        <w:t>Пр</w:t>
      </w:r>
      <w:r w:rsidR="00C0485D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иложение 2</w:t>
      </w:r>
    </w:p>
    <w:p w:rsidR="00DA1982" w:rsidRPr="00E62EC0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30"/>
        <w:gridCol w:w="2525"/>
        <w:gridCol w:w="426"/>
        <w:gridCol w:w="538"/>
        <w:gridCol w:w="314"/>
        <w:gridCol w:w="251"/>
        <w:gridCol w:w="251"/>
        <w:gridCol w:w="383"/>
        <w:gridCol w:w="560"/>
        <w:gridCol w:w="560"/>
        <w:gridCol w:w="30"/>
        <w:gridCol w:w="2491"/>
      </w:tblGrid>
      <w:tr w:rsidR="00DA1982" w:rsidRPr="00DA1982" w:rsidTr="00DA1982">
        <w:trPr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┌─┐                      ┌─┐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Сообщение └─┘ первичное            └─┘ повторное (дата первичного) _____)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ВРАЧ или другое лицо, сообщающее о НПР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ФИО: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Должность и место работы: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ИНФОРМАЦИЯ О ПАЦИЕНТЕ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Инициалы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Лечение ┌─┐ амбулаторное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└─┘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┌─┐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└─┘  стационарное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Адрес учреждения: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Телефон: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Подпись:                 Дата: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N амбулаторной карты или истории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болезни ____________________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Возраст: _________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┌─┐            ┌─┐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Пол └─┘ М          └─┘ Ж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Вес (кг): _____________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ЛЕКАРСТВЕННОЕ СРЕДСТВО (ЛС), предположительно вызвавшее НПР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Международное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непатентованное название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(МНН)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lastRenderedPageBreak/>
              <w:t>Торговое название (ТН)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Производитель, страна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Номер серии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Путь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введения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Суточная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доза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Дата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начала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терапии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Дата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обнаружения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ПД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Показание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/ /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/ /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ДРУГИЕ ЛЕКАРСТВЕННЫЕ СРЕДСТВА, принимаемые в течение последних 3 месяцев,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включая ЛС принимаемые пациентом самостоятельно (по собственному решению)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Укажите "НЕТ", если других лекарств пациент не принимал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МНН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ТН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Путь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введения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Дата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начала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терапии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Дата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прекращения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терапии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Показание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/ /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/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/ /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/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/ /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/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/ /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/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/ /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/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НПР, предположительно связанные с приемом лекарственного средства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lastRenderedPageBreak/>
              <w:t>Диагноз и/или симптомы: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Дата начала НПР: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____/________ /_______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Дата разрешения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____/________ /_______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Предпринятые меры: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┌─┐ Без лечения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└─┘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┌─┐ Снижение дозы подозреваемого ЛС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└─┘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┌─┐ Лекарственная терапия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└─┘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┌─┐ Отмена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└─┘ подозреваемого ЛС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┌─┐ Отмена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└─┘ сопутствующего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лечения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┌─┐ Немедикаментозная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└─┘ терапия (в т ч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хирургическое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вмешательство)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Дополнительная лекарственная                       1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терапия (если понадобилась)                        2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 xml:space="preserve">                                                   </w:t>
            </w: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3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Исход: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┌─┐ выздоровление без последствий               ┌─┐ госпитализация или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└─┘                                             └─┘ ее продление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┌─┐ угроза жизни                                ┌─┐ инвалидность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└─┘                                             └─┘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lastRenderedPageBreak/>
              <w:t>┌─┐ состояние без динамики                      ┌─┐  рождение ребенка с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└─┘                                             └─┘  врожденной аномалией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┌─┐ смерть                                      ┌─┐ не известно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center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└─┘                                             └─┘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DA1982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A1982" w:rsidRPr="00DA1982" w:rsidTr="00DA1982">
        <w:trPr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Значимая дополнительная информация, включая анамнестические данные,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подозреваемые лекарственные взаимодействия Для врожденных аномалий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указать все другие ЛС принимаемые во время беременности, а также дату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последней менструации Пожалуйста, приложите дополнительные страницы, если</w:t>
            </w:r>
          </w:p>
          <w:p w:rsidR="00DA1982" w:rsidRPr="00DA1982" w:rsidRDefault="00DA1982" w:rsidP="00DA1982">
            <w:pPr>
              <w:p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30" w:line="276" w:lineRule="atLeast"/>
              <w:jc w:val="both"/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</w:pPr>
            <w:r w:rsidRPr="00DA1982">
              <w:rPr>
                <w:rFonts w:ascii="Consolas" w:eastAsia="Times New Roman" w:hAnsi="Consolas" w:cs="Consolas"/>
                <w:color w:val="444444"/>
                <w:sz w:val="18"/>
                <w:szCs w:val="18"/>
                <w:lang w:eastAsia="ru-RU"/>
              </w:rPr>
              <w:t>это необходимо</w:t>
            </w:r>
          </w:p>
        </w:tc>
      </w:tr>
    </w:tbl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DA1982" w:rsidRDefault="00DA1982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  <w:sectPr w:rsidR="00DA1982" w:rsidSect="00A12B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EC0" w:rsidRPr="00E62EC0" w:rsidRDefault="00C0485D" w:rsidP="00E62EC0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666666"/>
          <w:sz w:val="25"/>
          <w:szCs w:val="25"/>
          <w:lang w:eastAsia="ru-RU"/>
        </w:rPr>
        <w:lastRenderedPageBreak/>
        <w:t>Приложение 3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br/>
      </w:r>
    </w:p>
    <w:p w:rsidR="00DA1982" w:rsidRDefault="00E62EC0" w:rsidP="00DA198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spacing w:before="230" w:after="230" w:line="276" w:lineRule="atLeast"/>
        <w:jc w:val="both"/>
        <w:rPr>
          <w:rFonts w:ascii="Consolas" w:hAnsi="Consolas" w:cs="Consolas"/>
          <w:color w:val="444444"/>
          <w:sz w:val="18"/>
          <w:szCs w:val="18"/>
        </w:rPr>
      </w:pPr>
      <w:r w:rsidRPr="00E62EC0">
        <w:rPr>
          <w:rFonts w:ascii="inherit" w:hAnsi="inherit"/>
          <w:color w:val="666666"/>
          <w:sz w:val="25"/>
          <w:szCs w:val="25"/>
        </w:rPr>
        <w:t xml:space="preserve">                                   </w:t>
      </w:r>
      <w:r w:rsidR="00DA1982">
        <w:rPr>
          <w:rFonts w:ascii="Consolas" w:hAnsi="Consolas" w:cs="Consolas"/>
          <w:color w:val="444444"/>
          <w:sz w:val="18"/>
          <w:szCs w:val="18"/>
        </w:rPr>
        <w:t>Заключение клинического фармаколога</w:t>
      </w:r>
    </w:p>
    <w:p w:rsidR="00DA1982" w:rsidRDefault="00DA1982" w:rsidP="00DA198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spacing w:before="230" w:after="230" w:line="276" w:lineRule="atLeast"/>
        <w:jc w:val="both"/>
        <w:rPr>
          <w:rFonts w:ascii="Consolas" w:hAnsi="Consolas" w:cs="Consolas"/>
          <w:color w:val="444444"/>
          <w:sz w:val="18"/>
          <w:szCs w:val="18"/>
        </w:rPr>
      </w:pPr>
      <w:r>
        <w:rPr>
          <w:rFonts w:ascii="Consolas" w:hAnsi="Consolas" w:cs="Consolas"/>
          <w:color w:val="444444"/>
          <w:sz w:val="18"/>
          <w:szCs w:val="18"/>
        </w:rPr>
        <w:t xml:space="preserve">                                   Информация о лекарственном препарате</w:t>
      </w:r>
    </w:p>
    <w:p w:rsidR="00DA1982" w:rsidRDefault="00DA1982" w:rsidP="00DA198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spacing w:before="230" w:after="230" w:line="276" w:lineRule="atLeast"/>
        <w:jc w:val="both"/>
        <w:rPr>
          <w:rFonts w:ascii="Consolas" w:hAnsi="Consolas" w:cs="Consolas"/>
          <w:color w:val="444444"/>
          <w:sz w:val="18"/>
          <w:szCs w:val="18"/>
        </w:rPr>
      </w:pPr>
      <w:r>
        <w:rPr>
          <w:rFonts w:ascii="Consolas" w:hAnsi="Consolas" w:cs="Consolas"/>
          <w:color w:val="444444"/>
          <w:sz w:val="18"/>
          <w:szCs w:val="18"/>
        </w:rPr>
        <w:t xml:space="preserve"> Торговое Производительность Серия    Путь   Лек.          Доза                     Продолжительность терапии</w:t>
      </w:r>
    </w:p>
    <w:p w:rsidR="00DA1982" w:rsidRDefault="00DA1982" w:rsidP="00DA198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spacing w:before="230" w:after="230" w:line="276" w:lineRule="atLeast"/>
        <w:jc w:val="both"/>
        <w:rPr>
          <w:rFonts w:ascii="Consolas" w:hAnsi="Consolas" w:cs="Consolas"/>
          <w:color w:val="444444"/>
          <w:sz w:val="18"/>
          <w:szCs w:val="18"/>
        </w:rPr>
      </w:pPr>
      <w:r>
        <w:rPr>
          <w:rFonts w:ascii="Consolas" w:hAnsi="Consolas" w:cs="Consolas"/>
          <w:color w:val="444444"/>
          <w:sz w:val="18"/>
          <w:szCs w:val="18"/>
        </w:rPr>
        <w:t xml:space="preserve"> (МНН)                              введения форма разовая суточная  Вызвавшая НПР        до развития НПР</w:t>
      </w:r>
    </w:p>
    <w:p w:rsidR="00DA1982" w:rsidRDefault="00DA1982" w:rsidP="00DA198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spacing w:before="230" w:after="230" w:line="276" w:lineRule="atLeast"/>
        <w:jc w:val="both"/>
        <w:rPr>
          <w:rFonts w:ascii="Consolas" w:hAnsi="Consolas" w:cs="Consolas"/>
          <w:color w:val="444444"/>
          <w:sz w:val="18"/>
          <w:szCs w:val="18"/>
        </w:rPr>
      </w:pPr>
      <w:r>
        <w:rPr>
          <w:rFonts w:ascii="Consolas" w:hAnsi="Consolas" w:cs="Consolas"/>
          <w:color w:val="444444"/>
          <w:sz w:val="18"/>
          <w:szCs w:val="18"/>
        </w:rPr>
        <w:t xml:space="preserve"> название</w:t>
      </w:r>
    </w:p>
    <w:p w:rsidR="00DA1982" w:rsidRDefault="00DA1982" w:rsidP="00DA198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spacing w:before="230" w:after="230" w:line="276" w:lineRule="atLeast"/>
        <w:jc w:val="both"/>
        <w:rPr>
          <w:rFonts w:ascii="Consolas" w:hAnsi="Consolas" w:cs="Consolas"/>
          <w:color w:val="444444"/>
          <w:sz w:val="18"/>
          <w:szCs w:val="18"/>
        </w:rPr>
      </w:pPr>
      <w:r>
        <w:rPr>
          <w:rFonts w:ascii="Consolas" w:hAnsi="Consolas" w:cs="Consolas"/>
          <w:color w:val="444444"/>
          <w:sz w:val="18"/>
          <w:szCs w:val="18"/>
        </w:rPr>
        <w:t>Информация о НПР</w:t>
      </w:r>
    </w:p>
    <w:p w:rsidR="00DA1982" w:rsidRDefault="00DA1982" w:rsidP="00DA198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spacing w:before="230" w:after="230" w:line="276" w:lineRule="atLeast"/>
        <w:jc w:val="both"/>
        <w:rPr>
          <w:rFonts w:ascii="Consolas" w:hAnsi="Consolas" w:cs="Consolas"/>
          <w:color w:val="444444"/>
          <w:sz w:val="18"/>
          <w:szCs w:val="18"/>
        </w:rPr>
      </w:pPr>
      <w:r>
        <w:rPr>
          <w:rFonts w:ascii="Consolas" w:hAnsi="Consolas" w:cs="Consolas"/>
          <w:color w:val="444444"/>
          <w:sz w:val="18"/>
          <w:szCs w:val="18"/>
        </w:rPr>
        <w:t xml:space="preserve">                                  Причинно-                      Комментарии</w:t>
      </w:r>
    </w:p>
    <w:p w:rsidR="00DA1982" w:rsidRDefault="00DA1982" w:rsidP="00DA198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spacing w:before="230" w:after="230" w:line="276" w:lineRule="atLeast"/>
        <w:jc w:val="both"/>
        <w:rPr>
          <w:rFonts w:ascii="Consolas" w:hAnsi="Consolas" w:cs="Consolas"/>
          <w:color w:val="444444"/>
          <w:sz w:val="18"/>
          <w:szCs w:val="18"/>
        </w:rPr>
      </w:pPr>
      <w:r>
        <w:rPr>
          <w:rFonts w:ascii="Consolas" w:hAnsi="Consolas" w:cs="Consolas"/>
          <w:color w:val="444444"/>
          <w:sz w:val="18"/>
          <w:szCs w:val="18"/>
        </w:rPr>
        <w:t>Описание НПР                Исход следственная связь             (обоснование наличия или отсутствия</w:t>
      </w:r>
    </w:p>
    <w:p w:rsidR="00DA1982" w:rsidRDefault="00DA1982" w:rsidP="00DA198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spacing w:before="230" w:after="230" w:line="276" w:lineRule="atLeast"/>
        <w:jc w:val="both"/>
        <w:rPr>
          <w:rFonts w:ascii="Consolas" w:hAnsi="Consolas" w:cs="Consolas"/>
          <w:color w:val="444444"/>
          <w:sz w:val="18"/>
          <w:szCs w:val="18"/>
        </w:rPr>
      </w:pPr>
      <w:r>
        <w:rPr>
          <w:rFonts w:ascii="Consolas" w:hAnsi="Consolas" w:cs="Consolas"/>
          <w:color w:val="444444"/>
          <w:sz w:val="18"/>
          <w:szCs w:val="18"/>
        </w:rPr>
        <w:t xml:space="preserve">                                                                 следственной связи, в том числе с указанием мер,</w:t>
      </w:r>
    </w:p>
    <w:p w:rsidR="00DA1982" w:rsidRDefault="00DA1982" w:rsidP="00DA198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spacing w:before="230" w:after="230" w:line="276" w:lineRule="atLeast"/>
        <w:jc w:val="both"/>
        <w:rPr>
          <w:rFonts w:ascii="Consolas" w:hAnsi="Consolas" w:cs="Consolas"/>
          <w:color w:val="444444"/>
          <w:sz w:val="18"/>
          <w:szCs w:val="18"/>
        </w:rPr>
      </w:pPr>
      <w:r>
        <w:rPr>
          <w:rFonts w:ascii="Consolas" w:hAnsi="Consolas" w:cs="Consolas"/>
          <w:color w:val="444444"/>
          <w:sz w:val="18"/>
          <w:szCs w:val="18"/>
        </w:rPr>
        <w:t xml:space="preserve">                                                                 какие были предприняты для получения дополнительной</w:t>
      </w:r>
    </w:p>
    <w:p w:rsidR="00DA1982" w:rsidRDefault="00DA1982" w:rsidP="00DA198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spacing w:before="230" w:after="230" w:line="276" w:lineRule="atLeast"/>
        <w:jc w:val="both"/>
        <w:rPr>
          <w:rFonts w:ascii="Consolas" w:hAnsi="Consolas" w:cs="Consolas"/>
          <w:color w:val="444444"/>
          <w:sz w:val="18"/>
          <w:szCs w:val="18"/>
        </w:rPr>
      </w:pPr>
      <w:r>
        <w:rPr>
          <w:rFonts w:ascii="Consolas" w:hAnsi="Consolas" w:cs="Consolas"/>
          <w:color w:val="444444"/>
          <w:sz w:val="18"/>
          <w:szCs w:val="18"/>
        </w:rPr>
        <w:t xml:space="preserve">                                                                 информации)</w:t>
      </w:r>
    </w:p>
    <w:p w:rsidR="00DA1982" w:rsidRDefault="00DA1982" w:rsidP="00DA198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spacing w:before="230" w:after="230" w:line="276" w:lineRule="atLeast"/>
        <w:jc w:val="both"/>
        <w:rPr>
          <w:rFonts w:ascii="Consolas" w:hAnsi="Consolas" w:cs="Consolas"/>
          <w:color w:val="444444"/>
          <w:sz w:val="18"/>
          <w:szCs w:val="18"/>
        </w:rPr>
      </w:pPr>
      <w:r>
        <w:rPr>
          <w:rFonts w:ascii="Consolas" w:hAnsi="Consolas" w:cs="Consolas"/>
          <w:color w:val="444444"/>
          <w:sz w:val="18"/>
          <w:szCs w:val="18"/>
        </w:rPr>
        <w:t>Заключение:</w:t>
      </w:r>
    </w:p>
    <w:p w:rsidR="00DA1982" w:rsidRPr="00DA1982" w:rsidRDefault="00DA1982" w:rsidP="00DA198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spacing w:before="230" w:after="230" w:line="276" w:lineRule="atLeast"/>
        <w:jc w:val="both"/>
        <w:rPr>
          <w:rFonts w:ascii="Consolas" w:hAnsi="Consolas" w:cs="Consolas"/>
          <w:color w:val="444444"/>
          <w:sz w:val="18"/>
          <w:szCs w:val="18"/>
        </w:rPr>
        <w:sectPr w:rsidR="00DA1982" w:rsidRPr="00DA1982" w:rsidSect="00DA19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Consolas" w:hAnsi="Consolas" w:cs="Consolas"/>
          <w:color w:val="444444"/>
          <w:sz w:val="18"/>
          <w:szCs w:val="18"/>
        </w:rPr>
        <w:t>Подпис</w:t>
      </w:r>
    </w:p>
    <w:p w:rsidR="00E62EC0" w:rsidRPr="00E62EC0" w:rsidRDefault="00C0485D" w:rsidP="00DA1982">
      <w:pPr>
        <w:shd w:val="clear" w:color="auto" w:fill="FFFFFF"/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666666"/>
          <w:sz w:val="25"/>
          <w:szCs w:val="25"/>
          <w:lang w:eastAsia="ru-RU"/>
        </w:rPr>
        <w:lastRenderedPageBreak/>
        <w:t>Приложение 4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0" w:rsidRPr="00E62EC0" w:rsidRDefault="00E62EC0" w:rsidP="00E62EC0">
      <w:pPr>
        <w:shd w:val="clear" w:color="auto" w:fill="FFFFFF"/>
        <w:spacing w:after="0" w:line="368" w:lineRule="atLeast"/>
        <w:jc w:val="center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Аналитический отчет о полученных сообщениях о НПР или случаях терапевтической неэффективности ЛС</w:t>
      </w:r>
    </w:p>
    <w:p w:rsidR="00E62EC0" w:rsidRPr="00E62EC0" w:rsidRDefault="00E62EC0" w:rsidP="00E6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1. За отчетный период ______ (месяц, год) было получено ____ сообщений о неблагоприятных побочных реакциях, в том числе: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1.1. От врачей -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Провизоров -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Пациентов -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Других категорий (указать каких) -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1.2. Указать фармакологические группы, препаратов вызвавших НПР, и количество сообщений поступивших по каждой группе.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2. Причинно-следственную связь удалось определить для _____ числа реакций (число препаратов), из которых к числу определенных отнесено ____, вероятных ____, возможных ___.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3. Выявлено ___ серьезных реакций, в том числе: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3.1. Приведших к летальному исходу - ___ указать данные о препаратах (МНН, торговое название, производитель, серия, доза вызвавшая эффект, путь введения), о пациентах (пол, возраст, основное заболевание и факторы риска (сопутствующие заболевания и сопутствующая терапия, беременность, кормление грудью, куренье, злоупотребление фармакологически активными веществами, включая алкоголь и т.д.), описание НПР и время ее развития после начала терапии, корректирующую терапию, время наступления летального исхода (после начала терапии, после отмены препарата, после начала корректирующей терапии).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3.2. Создавших угрозу жизни ___ указать данные о препаратах (МНН, торговое название, производителя, серию, дозу, путь введения), о пациентах (пол, возраст, основное заболевание и факторы риска - сопутствующие заболевания и сопутствующая терапия, беременность, кормление грудью, куренье, злоупотребление фармакологически активными веществами, включая алкоголь и т.д.), описание НПР. и время ее развития после начала терапии, корректирующую терапию и исходы.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 xml:space="preserve">3.3. Ставших причиной госпитализации ______ указать данные о препаратах (МНН, торговое название, производителя, серию, дозу, путь введения), о пациентах (пол, возраст, основное заболевание и факторы риска - сопутствующие заболевания и сопутствующая терапия, беременность, кормление грудью, куренье, злоупотребление фармакологически активными веществами, включая алкоголь и т.д.), описание НПР и время ее развития </w:t>
      </w: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lastRenderedPageBreak/>
        <w:t>после начала терапии, корректирующую терапию и исходы (выздоровление, инвалидность и т.д.).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3.4. Приведших к удлинению госпитализации ____ указать данные о препаратах (МНН, торговое название, производителя, серию, дозу, путь введения), о пациентах (пол, возраст, основное заболевание и факторы риска - сопутствующие заболевания и сопутствующая терапия, беременность, кормление грудью, куренье, злоупотребление фармакологически активными веществами, включая алкоголь и т.д.), описание НПР и время ее развития после начала терапии, корректирующую терапию и исходы.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3.5. Приведших к стойкой или длительной потере трудоспособности или инвалидности ____ указать данные о препаратах (МНН, торговое название, производителя, серию, дозу, путь введения), о пациентах (пол, возраст, основное заболевание и факторы риска - сопутствующие заболевания и сопутствующая терапия, беременность, кормление грудью, куренье, злоупотребление фармакологически активными веществами, включая алкоголь и т.д.), описание НПР и время ее развития после начала терапии, корректирующую терапию и причину нетрудоспособности (сердечная недостаточность, парез и т.д.).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4. Выявлено _____ случаев взаимодействий ЛС, которые стали причиной подозреваемых НПР. Привести данные о препаратах, пациентах, НПР и факторах риска в их развитии.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5. Выявлено ____ случаев негативного влияния ЛС на плод и новорожденного.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Привести данные о препарате(ах), плоде, новорожденном с описанием подозреваемых НПР, о факторах риска (злоупотребление фармакологически активными веществами, курении, прием алкоголя и др.), указать на каких сроках беременности применялся препарат.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6. Выявлено непредвиденных НПР (не внесенных в инструкцию по применению) ___ указать данные о препаратах (МНН, торговое название, производителя, серию, дозу, путь введения), о пациентах (пол, возраст, основное заболевание и факторы риска - сопутствующие заболевания и сопутствующая терапия, беременность, кормление грудью, куренье, злоупотребление фармакологически активными веществами, включая алкоголь и т.д.). Представить описание подозреваемой НПР с указанием возможности их наступления.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 xml:space="preserve">7. Получено ____ сообщений об отсутствии ожидаемого терапевтического эффекта, в том числе: указать данные о препаратах (МНН, торговое название, производителя, серию, дозу, путь введения), о пациентах (пол, возраст, основное заболевание и факторы риска - сопутствующие заболевания и </w:t>
      </w: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lastRenderedPageBreak/>
        <w:t>сопутствующая терапия, беременность, кормление грудью, куренье, злоупотребление фармакологически активными веществами, включая алкоголь и т.д.), последствия неэффективности, предпринятые меры, предполагаемую причину неэффективности.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8. Перечисление конкретных действий, предпринятых за отчетный период с целью повышения информированности и активности медицинских работников в области регистрации НПР и сообщения о них.</w:t>
      </w:r>
    </w:p>
    <w:p w:rsidR="00E62EC0" w:rsidRPr="00E62EC0" w:rsidRDefault="00E62EC0" w:rsidP="00E62EC0">
      <w:pPr>
        <w:shd w:val="clear" w:color="auto" w:fill="FFFFFF"/>
        <w:spacing w:after="0" w:line="368" w:lineRule="atLeast"/>
        <w:ind w:firstLine="199"/>
        <w:jc w:val="both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62EC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9. Другие виды деятельности в области безопасности лекарственных средств.</w:t>
      </w:r>
    </w:p>
    <w:p w:rsidR="00A12BF1" w:rsidRPr="00E62EC0" w:rsidRDefault="00A12BF1" w:rsidP="00E62EC0"/>
    <w:sectPr w:rsidR="00A12BF1" w:rsidRPr="00E62EC0" w:rsidSect="00A1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E62EC0"/>
    <w:rsid w:val="00A12BF1"/>
    <w:rsid w:val="00C0485D"/>
    <w:rsid w:val="00C41010"/>
    <w:rsid w:val="00DA1982"/>
    <w:rsid w:val="00E6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F1"/>
  </w:style>
  <w:style w:type="paragraph" w:styleId="2">
    <w:name w:val="heading 2"/>
    <w:basedOn w:val="a"/>
    <w:link w:val="20"/>
    <w:uiPriority w:val="9"/>
    <w:qFormat/>
    <w:rsid w:val="00E62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2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EC0"/>
  </w:style>
  <w:style w:type="paragraph" w:styleId="HTML">
    <w:name w:val="HTML Preformatted"/>
    <w:basedOn w:val="a"/>
    <w:link w:val="HTML0"/>
    <w:uiPriority w:val="99"/>
    <w:unhideWhenUsed/>
    <w:rsid w:val="00E62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2E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2E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889">
          <w:marLeft w:val="153"/>
          <w:marRight w:val="153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2827</Words>
  <Characters>16116</Characters>
  <Application>Microsoft Office Word</Application>
  <DocSecurity>0</DocSecurity>
  <Lines>134</Lines>
  <Paragraphs>37</Paragraphs>
  <ScaleCrop>false</ScaleCrop>
  <Company>Krokoz™</Company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2016-03-17T09:25:00Z</dcterms:created>
  <dcterms:modified xsi:type="dcterms:W3CDTF">2016-03-17T09:46:00Z</dcterms:modified>
</cp:coreProperties>
</file>